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13</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214035</w:t>
      </w:r>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16-26 Aug</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1</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Coverage and Capacity Optimization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ascii="Calibri" w:hAnsi="Calibri" w:cs="Calibri"/>
          <w:i/>
          <w:color w:val="FF0000"/>
          <w:sz w:val="16"/>
          <w:szCs w:val="16"/>
        </w:rPr>
      </w:pPr>
      <w:r>
        <w:rPr>
          <w:rFonts w:hint="eastAsia"/>
          <w:lang w:val="en-US" w:eastAsia="zh-CN"/>
        </w:rPr>
        <w:t>In the previous meetings, Coverage and Capacity Optimization (CCO) in NR has been discussed, and some agreements were reached.</w:t>
      </w:r>
    </w:p>
    <w:p>
      <w:pPr>
        <w:widowControl w:val="0"/>
        <w:spacing w:after="0"/>
        <w:rPr>
          <w:rFonts w:ascii="Calibri" w:hAnsi="Calibri" w:cs="Calibri"/>
          <w:iCs/>
          <w:color w:val="00B050"/>
          <w:sz w:val="16"/>
          <w:szCs w:val="16"/>
        </w:rPr>
      </w:pPr>
      <w:r>
        <w:rPr>
          <w:rFonts w:ascii="Calibri" w:hAnsi="Calibri" w:cs="Calibri"/>
          <w:iCs/>
          <w:color w:val="00B050"/>
          <w:sz w:val="16"/>
          <w:szCs w:val="16"/>
        </w:rPr>
        <w:t>E-UTRAN CCO function should be considered as baseline for NG-RAN CCO solution for dynamic coverage changes with an index-based solution for coverage switching among deployment options</w:t>
      </w:r>
    </w:p>
    <w:p>
      <w:pPr>
        <w:widowControl w:val="0"/>
        <w:spacing w:after="0"/>
        <w:rPr>
          <w:rFonts w:ascii="Calibri" w:hAnsi="Calibri" w:cs="Calibri"/>
          <w:iCs/>
          <w:color w:val="00B050"/>
          <w:sz w:val="16"/>
          <w:szCs w:val="16"/>
        </w:rPr>
      </w:pPr>
      <w:r>
        <w:rPr>
          <w:rFonts w:ascii="Calibri" w:hAnsi="Calibri" w:cs="Calibri"/>
          <w:iCs/>
          <w:color w:val="00B050"/>
          <w:sz w:val="16"/>
          <w:szCs w:val="16"/>
        </w:rPr>
        <w:t>In NG-RAN scenario, a NG-RAN node may send to a neighbor NG-RAN node a coverage modification list which includes deployment related information concerning the serving cells</w:t>
      </w:r>
    </w:p>
    <w:p>
      <w:pPr>
        <w:widowControl w:val="0"/>
        <w:spacing w:after="0"/>
        <w:rPr>
          <w:rFonts w:ascii="Calibri" w:hAnsi="Calibri" w:cs="Calibri"/>
          <w:iCs/>
          <w:color w:val="00B050"/>
          <w:sz w:val="16"/>
          <w:szCs w:val="16"/>
        </w:rPr>
      </w:pPr>
      <w:r>
        <w:rPr>
          <w:rFonts w:ascii="Calibri" w:hAnsi="Calibri" w:cs="Calibri"/>
          <w:iCs/>
          <w:color w:val="00B050"/>
          <w:sz w:val="16"/>
          <w:szCs w:val="16"/>
        </w:rPr>
        <w:t>Exchange at least NG-RAN CGI, Cell Coverage State, Cell Deployment Status Indicator, Cell Replacing Info in NG-RAN NODE CONFIGURATION UPDATE message over Xn for coverage modification</w:t>
      </w:r>
    </w:p>
    <w:p>
      <w:pPr>
        <w:widowControl w:val="0"/>
        <w:spacing w:after="0"/>
        <w:rPr>
          <w:rFonts w:ascii="Calibri" w:hAnsi="Calibri" w:cs="Calibri"/>
          <w:iCs/>
          <w:color w:val="00B050"/>
          <w:sz w:val="16"/>
          <w:szCs w:val="16"/>
        </w:rPr>
      </w:pPr>
      <w:r>
        <w:rPr>
          <w:rFonts w:ascii="Calibri" w:hAnsi="Calibri" w:cs="Calibri"/>
          <w:iCs/>
          <w:color w:val="00B050"/>
          <w:sz w:val="16"/>
          <w:szCs w:val="16"/>
        </w:rPr>
        <w:t>DU signals to CU coverage related configuration information. Whether to include SSB beam information (on top of cell info) is FFS.</w:t>
      </w:r>
    </w:p>
    <w:p>
      <w:pPr>
        <w:widowControl w:val="0"/>
        <w:spacing w:after="0"/>
        <w:rPr>
          <w:rFonts w:ascii="Calibri" w:hAnsi="Calibri" w:cs="Calibri"/>
          <w:iCs/>
          <w:color w:val="00B050"/>
          <w:sz w:val="16"/>
          <w:szCs w:val="16"/>
        </w:rPr>
      </w:pPr>
      <w:r>
        <w:rPr>
          <w:rFonts w:ascii="Calibri" w:hAnsi="Calibri" w:cs="Calibri"/>
          <w:iCs/>
          <w:color w:val="00B050"/>
          <w:sz w:val="16"/>
          <w:szCs w:val="16"/>
        </w:rPr>
        <w:t>CSI-RS based beam coverage tuning is an optimization and is not covered as part of NR CCO for Rel-17</w:t>
      </w:r>
    </w:p>
    <w:p>
      <w:pPr>
        <w:widowControl w:val="0"/>
        <w:rPr>
          <w:rFonts w:ascii="Calibri" w:hAnsi="Calibri" w:cs="Calibri"/>
          <w:iCs/>
          <w:color w:val="00B050"/>
          <w:sz w:val="16"/>
          <w:szCs w:val="16"/>
        </w:rPr>
      </w:pPr>
      <w:r>
        <w:rPr>
          <w:rFonts w:ascii="Calibri" w:hAnsi="Calibri" w:cs="Calibri"/>
          <w:iCs/>
          <w:color w:val="00B050"/>
          <w:sz w:val="16"/>
          <w:szCs w:val="16"/>
        </w:rPr>
        <w:t>WA: DU makes the final decision on which coverage configuration to use (since the DU is the only one who knows the resource situation)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sz w:val="20"/>
          <w:szCs w:val="20"/>
          <w:lang w:val="en-US" w:eastAsia="zh-CN"/>
        </w:rPr>
      </w:pPr>
      <w:r>
        <w:rPr>
          <w:rFonts w:hint="eastAsia"/>
          <w:sz w:val="20"/>
          <w:szCs w:val="20"/>
          <w:lang w:val="en-US" w:eastAsia="zh-CN"/>
        </w:rPr>
        <w:t>In addition to the agreements above, some issues need to be discussed further.</w:t>
      </w:r>
    </w:p>
    <w:p>
      <w:pPr>
        <w:widowControl w:val="0"/>
        <w:spacing w:after="0"/>
        <w:rPr>
          <w:rFonts w:ascii="Calibri" w:hAnsi="Calibri" w:cs="Calibri"/>
          <w:i/>
          <w:iCs w:val="0"/>
          <w:color w:val="FF0000"/>
          <w:sz w:val="16"/>
          <w:szCs w:val="16"/>
          <w:highlight w:val="none"/>
        </w:rPr>
      </w:pPr>
      <w:r>
        <w:rPr>
          <w:rFonts w:ascii="Calibri" w:hAnsi="Calibri" w:cs="Calibri"/>
          <w:i/>
          <w:iCs w:val="0"/>
          <w:color w:val="FF0000"/>
          <w:sz w:val="16"/>
          <w:szCs w:val="16"/>
          <w:highlight w:val="none"/>
        </w:rPr>
        <w:t>Issue 1: In LTE, it OAM defines a set of alternative coverage configurations to be used for cells served by a node. Does this apply also for NR?</w:t>
      </w:r>
    </w:p>
    <w:p>
      <w:pPr>
        <w:widowControl w:val="0"/>
        <w:spacing w:after="0"/>
        <w:rPr>
          <w:rFonts w:ascii="Calibri" w:hAnsi="Calibri" w:cs="Calibri"/>
          <w:i/>
          <w:iCs w:val="0"/>
          <w:color w:val="FF0000"/>
          <w:sz w:val="16"/>
          <w:szCs w:val="16"/>
          <w:highlight w:val="none"/>
        </w:rPr>
      </w:pPr>
      <w:r>
        <w:rPr>
          <w:rFonts w:ascii="Calibri" w:hAnsi="Calibri" w:cs="Calibri"/>
          <w:i/>
          <w:iCs w:val="0"/>
          <w:color w:val="FF0000"/>
          <w:sz w:val="16"/>
          <w:szCs w:val="16"/>
          <w:highlight w:val="none"/>
        </w:rPr>
        <w:t>Issue2: If one node modifies the coverage of one or more cells, a neighbor node may also adjust the coverage of one or more cells. Is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pPr>
        <w:widowControl w:val="0"/>
        <w:spacing w:after="0"/>
        <w:rPr>
          <w:rFonts w:ascii="Calibri" w:hAnsi="Calibri" w:cs="Calibri"/>
          <w:i/>
          <w:iCs w:val="0"/>
          <w:color w:val="FF0000"/>
          <w:sz w:val="16"/>
          <w:szCs w:val="16"/>
        </w:rPr>
      </w:pPr>
      <w:r>
        <w:rPr>
          <w:rFonts w:ascii="Calibri" w:hAnsi="Calibri" w:cs="Calibri"/>
          <w:i/>
          <w:iCs w:val="0"/>
          <w:color w:val="FF0000"/>
          <w:sz w:val="16"/>
          <w:szCs w:val="16"/>
        </w:rPr>
        <w:t xml:space="preserve">Issue 3: For F1, the CU is providing assistance information to the DU and the DU makes the final decision on which coverage configuration to use (since the DU is the only one who knows the resource situation), but is the CU to be involved by e.g, proposing/deciding coverage configurations to the gNB DU? </w:t>
      </w:r>
    </w:p>
    <w:p>
      <w:pPr>
        <w:widowControl w:val="0"/>
        <w:spacing w:after="0"/>
        <w:rPr>
          <w:rFonts w:ascii="Calibri" w:hAnsi="Calibri" w:cs="Calibri"/>
          <w:i/>
          <w:iCs w:val="0"/>
          <w:color w:val="FF0000"/>
          <w:sz w:val="16"/>
          <w:szCs w:val="16"/>
        </w:rPr>
      </w:pPr>
      <w:r>
        <w:rPr>
          <w:rFonts w:ascii="Calibri" w:hAnsi="Calibri" w:cs="Calibri"/>
          <w:i/>
          <w:iCs w:val="0"/>
          <w:color w:val="FF0000"/>
          <w:sz w:val="16"/>
          <w:szCs w:val="16"/>
        </w:rPr>
        <w:t>To be continued...</w:t>
      </w:r>
    </w:p>
    <w:p>
      <w:pPr>
        <w:pStyle w:val="32"/>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sz w:val="20"/>
          <w:szCs w:val="20"/>
          <w:lang w:val="en-US" w:eastAsia="zh-CN"/>
        </w:rPr>
      </w:pPr>
      <w:r>
        <w:rPr>
          <w:rFonts w:hint="eastAsia"/>
          <w:sz w:val="20"/>
          <w:szCs w:val="20"/>
          <w:lang w:val="en-US" w:eastAsia="zh-CN"/>
        </w:rPr>
        <w:t>In this  contribution, we will further discuss the remaining open issues.</w:t>
      </w:r>
    </w:p>
    <w:p>
      <w:pPr>
        <w:pStyle w:val="2"/>
      </w:pPr>
      <w:r>
        <w:rPr>
          <w:rFonts w:hint="eastAsia"/>
          <w:lang w:val="en-US" w:eastAsia="zh-CN"/>
        </w:rPr>
        <w:t>Discussion</w:t>
      </w:r>
    </w:p>
    <w:p>
      <w:pPr>
        <w:pStyle w:val="3"/>
        <w:bidi w:val="0"/>
        <w:rPr>
          <w:rFonts w:hint="eastAsia"/>
          <w:lang w:val="en-US" w:eastAsia="zh-CN"/>
        </w:rPr>
      </w:pPr>
      <w:r>
        <w:rPr>
          <w:rFonts w:hint="eastAsia"/>
          <w:lang w:val="en-US" w:eastAsia="zh-CN"/>
        </w:rPr>
        <w:t>Coverage configuration defined by OAM</w:t>
      </w:r>
    </w:p>
    <w:p>
      <w:pPr>
        <w:rPr>
          <w:rFonts w:hint="eastAsia"/>
          <w:lang w:val="en-US" w:eastAsia="zh-CN"/>
        </w:rPr>
      </w:pPr>
      <w:r>
        <w:rPr>
          <w:rFonts w:hint="eastAsia"/>
          <w:lang w:val="en-US" w:eastAsia="zh-CN"/>
        </w:rPr>
        <w:t>From the SOD of CCO in last meeting [1], in LTE, it OAM defines a set of alternative coverage configurations to be used for cells served by a node. After checking the SA5 specification in LTE, the corresponding CCO configuration parameter defined  in TS 32.762 is shown as below.</w:t>
      </w:r>
    </w:p>
    <w:p>
      <w:pPr>
        <w:rPr>
          <w:rFonts w:hint="eastAsia"/>
          <w:lang w:val="en-US" w:eastAsia="zh-CN"/>
        </w:rPr>
      </w:pPr>
      <w:r>
        <w:rPr>
          <w:rFonts w:hint="eastAsia"/>
          <w:lang w:val="en-US" w:eastAsia="zh-CN"/>
        </w:rPr>
        <w:t>-----------------------------------------------------------------TS 32.762----------------------------------------------------------------</w:t>
      </w:r>
    </w:p>
    <w:p>
      <w:pPr>
        <w:pStyle w:val="4"/>
        <w:numPr>
          <w:ilvl w:val="2"/>
          <w:numId w:val="0"/>
        </w:numPr>
        <w:tabs>
          <w:tab w:val="clear" w:pos="720"/>
        </w:tabs>
        <w:ind w:leftChars="0"/>
        <w:rPr>
          <w:lang w:eastAsia="zh-CN"/>
        </w:rPr>
      </w:pPr>
      <w:bookmarkStart w:id="3" w:name="_Toc350957594"/>
      <w:r>
        <w:rPr>
          <w:lang w:eastAsia="zh-CN"/>
        </w:rPr>
        <w:t>6</w:t>
      </w:r>
      <w:r>
        <w:t>.3.</w:t>
      </w:r>
      <w:r>
        <w:rPr>
          <w:lang w:val="en-US"/>
        </w:rPr>
        <w:t>26</w:t>
      </w:r>
      <w:r>
        <w:tab/>
      </w:r>
      <w:bookmarkEnd w:id="3"/>
      <w:r>
        <w:rPr>
          <w:rFonts w:ascii="Courier New" w:hAnsi="Courier New" w:cs="Courier New"/>
          <w:lang w:val="en-US"/>
        </w:rPr>
        <w:t>CCO</w:t>
      </w:r>
      <w:r>
        <w:rPr>
          <w:rFonts w:ascii="Courier New" w:hAnsi="Courier New" w:cs="Courier New"/>
          <w:lang w:eastAsia="zh-CN"/>
        </w:rPr>
        <w:t>Information</w:t>
      </w:r>
    </w:p>
    <w:p>
      <w:pPr>
        <w:pStyle w:val="5"/>
        <w:rPr>
          <w:rFonts w:hint="eastAsia"/>
          <w:lang w:eastAsia="zh-CN"/>
        </w:rPr>
      </w:pPr>
      <w:bookmarkStart w:id="4" w:name="_Toc350957595"/>
      <w:r>
        <w:rPr>
          <w:lang w:eastAsia="zh-CN"/>
        </w:rPr>
        <w:t>6</w:t>
      </w:r>
      <w:r>
        <w:t>.3.</w:t>
      </w:r>
      <w:r>
        <w:rPr>
          <w:lang w:val="en-US" w:eastAsia="zh-CN"/>
        </w:rPr>
        <w:t>26</w:t>
      </w:r>
      <w:r>
        <w:t>.1</w:t>
      </w:r>
      <w:r>
        <w:tab/>
      </w:r>
      <w:r>
        <w:t>Definition</w:t>
      </w:r>
      <w:bookmarkEnd w:id="4"/>
    </w:p>
    <w:p>
      <w:pPr>
        <w:rPr>
          <w:lang w:eastAsia="zh-CN"/>
        </w:rPr>
      </w:pPr>
      <w:r>
        <w:t xml:space="preserve">This IOC </w:t>
      </w:r>
      <w:r>
        <w:rPr>
          <w:rFonts w:hint="eastAsia"/>
          <w:lang w:eastAsia="zh-CN"/>
        </w:rPr>
        <w:t xml:space="preserve">represents </w:t>
      </w:r>
      <w:r>
        <w:rPr>
          <w:lang w:eastAsia="zh-CN"/>
        </w:rPr>
        <w:t xml:space="preserve">information relevant in case of a Capacity and Coverage Optimization taking place. </w:t>
      </w:r>
    </w:p>
    <w:p>
      <w:pPr>
        <w:pStyle w:val="5"/>
        <w:rPr>
          <w:rFonts w:hint="eastAsia"/>
          <w:lang w:eastAsia="zh-CN"/>
        </w:rPr>
      </w:pPr>
      <w:bookmarkStart w:id="5" w:name="_Toc350957596"/>
      <w:r>
        <w:rPr>
          <w:lang w:eastAsia="zh-CN"/>
        </w:rPr>
        <w:t>6</w:t>
      </w:r>
      <w:r>
        <w:t>.3.</w:t>
      </w:r>
      <w:r>
        <w:rPr>
          <w:lang w:val="en-US" w:eastAsia="zh-CN"/>
        </w:rPr>
        <w:t>26</w:t>
      </w:r>
      <w:r>
        <w:t>.2</w:t>
      </w:r>
      <w:r>
        <w:tab/>
      </w:r>
      <w:r>
        <w:t>Attributes</w:t>
      </w:r>
      <w:bookmarkEnd w:id="5"/>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7"/>
        <w:gridCol w:w="1687"/>
        <w:gridCol w:w="143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pct10" w:color="auto" w:fill="FFFFFF"/>
            <w:noWrap w:val="0"/>
            <w:vAlign w:val="bottom"/>
          </w:tcPr>
          <w:p>
            <w:pPr>
              <w:pStyle w:val="77"/>
            </w:pPr>
            <w:r>
              <w:t>Attribute name</w:t>
            </w:r>
          </w:p>
        </w:tc>
        <w:tc>
          <w:tcPr>
            <w:tcW w:w="0" w:type="auto"/>
            <w:shd w:val="pct10" w:color="auto" w:fill="FFFFFF"/>
            <w:noWrap w:val="0"/>
            <w:vAlign w:val="bottom"/>
          </w:tcPr>
          <w:p>
            <w:pPr>
              <w:pStyle w:val="77"/>
            </w:pPr>
            <w:r>
              <w:t>Support Qualifier</w:t>
            </w:r>
          </w:p>
        </w:tc>
        <w:tc>
          <w:tcPr>
            <w:tcW w:w="0" w:type="auto"/>
            <w:shd w:val="pct10" w:color="auto" w:fill="FFFFFF"/>
            <w:noWrap w:val="0"/>
            <w:vAlign w:val="bottom"/>
          </w:tcPr>
          <w:p>
            <w:pPr>
              <w:pStyle w:val="77"/>
            </w:pPr>
            <w:r>
              <w:t>Read Qualifier</w:t>
            </w:r>
          </w:p>
        </w:tc>
        <w:tc>
          <w:tcPr>
            <w:tcW w:w="0" w:type="auto"/>
            <w:shd w:val="pct10" w:color="auto" w:fill="FFFFFF"/>
            <w:noWrap w:val="0"/>
            <w:vAlign w:val="bottom"/>
          </w:tcPr>
          <w:p>
            <w:pPr>
              <w:pStyle w:val="77"/>
            </w:pPr>
            <w:r>
              <w:t>Write Qualifier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pStyle w:val="63"/>
              <w:rPr>
                <w:rFonts w:ascii="Courier New" w:hAnsi="Courier New" w:cs="Courier New"/>
                <w:lang w:eastAsia="zh-CN"/>
              </w:rPr>
            </w:pPr>
            <w:r>
              <w:rPr>
                <w:rFonts w:ascii="Courier New" w:hAnsi="Courier New" w:cs="Courier New"/>
                <w:lang w:eastAsia="zh-CN"/>
              </w:rPr>
              <w:t>cCOStatus</w:t>
            </w:r>
          </w:p>
        </w:tc>
        <w:tc>
          <w:tcPr>
            <w:tcW w:w="0" w:type="auto"/>
            <w:noWrap w:val="0"/>
            <w:vAlign w:val="top"/>
          </w:tcPr>
          <w:p>
            <w:pPr>
              <w:pStyle w:val="63"/>
              <w:jc w:val="center"/>
              <w:rPr>
                <w:rFonts w:cs="Arial"/>
                <w:lang w:eastAsia="zh-CN"/>
              </w:rPr>
            </w:pPr>
            <w:r>
              <w:rPr>
                <w:rFonts w:cs="Arial"/>
                <w:lang w:eastAsia="zh-CN"/>
              </w:rPr>
              <w:t>M</w:t>
            </w:r>
          </w:p>
        </w:tc>
        <w:tc>
          <w:tcPr>
            <w:tcW w:w="0" w:type="auto"/>
            <w:noWrap w:val="0"/>
            <w:vAlign w:val="top"/>
          </w:tcPr>
          <w:p>
            <w:pPr>
              <w:pStyle w:val="63"/>
              <w:jc w:val="center"/>
              <w:rPr>
                <w:rFonts w:cs="Arial"/>
              </w:rPr>
            </w:pPr>
            <w:r>
              <w:rPr>
                <w:rFonts w:cs="Arial"/>
              </w:rPr>
              <w:t>M</w:t>
            </w:r>
          </w:p>
        </w:tc>
        <w:tc>
          <w:tcPr>
            <w:tcW w:w="0" w:type="auto"/>
            <w:noWrap w:val="0"/>
            <w:vAlign w:val="top"/>
          </w:tcPr>
          <w:p>
            <w:pPr>
              <w:pStyle w:val="63"/>
              <w:jc w:val="center"/>
              <w:rPr>
                <w:rFonts w:cs="Arial"/>
              </w:rPr>
            </w:pPr>
            <w:r>
              <w:rPr>
                <w:rFonts w:cs="Arial"/>
              </w:rPr>
              <w:t>CM</w:t>
            </w:r>
          </w:p>
        </w:tc>
      </w:tr>
    </w:tbl>
    <w:p>
      <w:pPr>
        <w:pStyle w:val="5"/>
      </w:pPr>
      <w:bookmarkStart w:id="6" w:name="_Toc350957597"/>
      <w:r>
        <w:rPr>
          <w:lang w:eastAsia="zh-CN"/>
        </w:rPr>
        <w:t>6</w:t>
      </w:r>
      <w:r>
        <w:t>.3.</w:t>
      </w:r>
      <w:r>
        <w:rPr>
          <w:lang w:val="en-US"/>
        </w:rPr>
        <w:t>26</w:t>
      </w:r>
      <w:r>
        <w:t>.3</w:t>
      </w:r>
      <w:r>
        <w:tab/>
      </w:r>
      <w:r>
        <w:t>Attribute constraints</w:t>
      </w:r>
      <w:bookmarkEnd w:id="6"/>
      <w:r>
        <w:t xml:space="preserve"> </w:t>
      </w:r>
    </w:p>
    <w:tbl>
      <w:tblPr>
        <w:tblStyle w:val="51"/>
        <w:tblW w:w="0" w:type="auto"/>
        <w:tblInd w:w="1384" w:type="dxa"/>
        <w:tblLayout w:type="autofit"/>
        <w:tblCellMar>
          <w:top w:w="0" w:type="dxa"/>
          <w:left w:w="108" w:type="dxa"/>
          <w:bottom w:w="0" w:type="dxa"/>
          <w:right w:w="108" w:type="dxa"/>
        </w:tblCellMar>
      </w:tblPr>
      <w:tblGrid>
        <w:gridCol w:w="2864"/>
        <w:gridCol w:w="5607"/>
      </w:tblGrid>
      <w:tr>
        <w:tblPrEx>
          <w:tblCellMar>
            <w:top w:w="0" w:type="dxa"/>
            <w:left w:w="108" w:type="dxa"/>
            <w:bottom w:w="0" w:type="dxa"/>
            <w:right w:w="108" w:type="dxa"/>
          </w:tblCellMar>
        </w:tblPrEx>
        <w:tc>
          <w:tcPr>
            <w:tcW w:w="286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77"/>
            </w:pPr>
            <w:r>
              <w:t>Name</w:t>
            </w:r>
          </w:p>
        </w:tc>
        <w:tc>
          <w:tcPr>
            <w:tcW w:w="56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77"/>
            </w:pPr>
            <w:r>
              <w:t>Definition</w:t>
            </w:r>
          </w:p>
        </w:tc>
      </w:tr>
      <w:tr>
        <w:tblPrEx>
          <w:tblCellMar>
            <w:top w:w="0" w:type="dxa"/>
            <w:left w:w="108" w:type="dxa"/>
            <w:bottom w:w="0" w:type="dxa"/>
            <w:right w:w="108" w:type="dxa"/>
          </w:tblCellMar>
        </w:tblPrEx>
        <w:tc>
          <w:tcPr>
            <w:tcW w:w="2864" w:type="dxa"/>
            <w:tcBorders>
              <w:top w:val="single" w:color="auto" w:sz="4" w:space="0"/>
              <w:left w:val="single" w:color="auto" w:sz="4" w:space="0"/>
              <w:bottom w:val="single" w:color="auto" w:sz="4" w:space="0"/>
              <w:right w:val="single" w:color="auto" w:sz="4" w:space="0"/>
            </w:tcBorders>
            <w:noWrap w:val="0"/>
            <w:vAlign w:val="top"/>
          </w:tcPr>
          <w:p>
            <w:pPr>
              <w:pStyle w:val="63"/>
              <w:rPr>
                <w:rFonts w:hint="eastAsia" w:ascii="Courier New" w:hAnsi="Courier New" w:cs="Courier New"/>
                <w:lang w:eastAsia="zh-CN"/>
              </w:rPr>
            </w:pPr>
            <w:r>
              <w:rPr>
                <w:rFonts w:hint="eastAsia" w:ascii="Courier New" w:hAnsi="Courier New" w:cs="Courier New"/>
                <w:lang w:eastAsia="zh-CN"/>
              </w:rPr>
              <w:t>cCOSta</w:t>
            </w:r>
            <w:r>
              <w:rPr>
                <w:rFonts w:ascii="Courier New" w:hAnsi="Courier New" w:cs="Courier New"/>
                <w:lang w:eastAsia="zh-CN"/>
              </w:rPr>
              <w:t>tus</w:t>
            </w:r>
            <w:r>
              <w:rPr>
                <w:rFonts w:hint="eastAsia" w:ascii="Courier New" w:hAnsi="Courier New" w:cs="Courier New"/>
                <w:lang w:eastAsia="zh-CN"/>
              </w:rPr>
              <w:t xml:space="preserve"> </w:t>
            </w:r>
            <w:r>
              <w:rPr>
                <w:rFonts w:cs="Arial"/>
              </w:rPr>
              <w:t xml:space="preserve">CM </w:t>
            </w:r>
            <w:r>
              <w:rPr>
                <w:rFonts w:cs="Arial"/>
                <w:lang w:eastAsia="zh-CN"/>
              </w:rPr>
              <w:t>Write</w:t>
            </w:r>
            <w:r>
              <w:rPr>
                <w:rFonts w:cs="Arial"/>
              </w:rPr>
              <w:t xml:space="preserve"> Qualifier</w:t>
            </w:r>
          </w:p>
        </w:tc>
        <w:tc>
          <w:tcPr>
            <w:tcW w:w="5607" w:type="dxa"/>
            <w:tcBorders>
              <w:top w:val="single" w:color="auto" w:sz="4" w:space="0"/>
              <w:left w:val="single" w:color="auto" w:sz="4" w:space="0"/>
              <w:bottom w:val="single" w:color="auto" w:sz="4" w:space="0"/>
              <w:right w:val="single" w:color="auto" w:sz="4" w:space="0"/>
            </w:tcBorders>
            <w:noWrap w:val="0"/>
            <w:vAlign w:val="top"/>
          </w:tcPr>
          <w:p>
            <w:pPr>
              <w:pStyle w:val="63"/>
              <w:rPr>
                <w:rFonts w:hint="eastAsia"/>
                <w:lang w:eastAsia="zh-CN"/>
              </w:rPr>
            </w:pPr>
            <w:r>
              <w:rPr>
                <w:rFonts w:hint="eastAsia"/>
                <w:lang w:eastAsia="zh-CN"/>
              </w:rPr>
              <w:t>NM centralized CCO is supported</w:t>
            </w:r>
            <w:r>
              <w:t>.</w:t>
            </w:r>
          </w:p>
        </w:tc>
      </w:tr>
    </w:tbl>
    <w:p>
      <w:pPr>
        <w:pStyle w:val="5"/>
        <w:rPr>
          <w:rFonts w:hint="eastAsia"/>
          <w:lang w:eastAsia="zh-CN"/>
        </w:rPr>
      </w:pPr>
      <w:bookmarkStart w:id="7" w:name="_Toc350957598"/>
      <w:r>
        <w:rPr>
          <w:lang w:eastAsia="zh-CN"/>
        </w:rPr>
        <w:t>6</w:t>
      </w:r>
      <w:r>
        <w:t>.3.</w:t>
      </w:r>
      <w:r>
        <w:rPr>
          <w:lang w:val="en-US" w:eastAsia="zh-CN"/>
        </w:rPr>
        <w:t>26</w:t>
      </w:r>
      <w:r>
        <w:t>.</w:t>
      </w:r>
      <w:r>
        <w:rPr>
          <w:rFonts w:hint="eastAsia"/>
          <w:lang w:eastAsia="zh-CN"/>
        </w:rPr>
        <w:t>4</w:t>
      </w:r>
      <w:r>
        <w:tab/>
      </w:r>
      <w:r>
        <w:t>Notifications</w:t>
      </w:r>
      <w:bookmarkEnd w:id="7"/>
      <w:r>
        <w:t xml:space="preserve"> </w:t>
      </w:r>
    </w:p>
    <w:p>
      <w:r>
        <w:t xml:space="preserve">The common notifications defined in subclause </w:t>
      </w:r>
      <w:r>
        <w:rPr>
          <w:rFonts w:hint="eastAsia"/>
          <w:lang w:eastAsia="zh-CN"/>
        </w:rPr>
        <w:t>6.6.2</w:t>
      </w:r>
      <w:r>
        <w:t xml:space="preserve"> are valid for this IOC, with the addition that </w:t>
      </w:r>
      <w:r>
        <w:rPr>
          <w:rFonts w:ascii="Courier New" w:hAnsi="Courier New"/>
        </w:rPr>
        <w:t xml:space="preserve">notifyAttributeValueChange </w:t>
      </w:r>
      <w:r>
        <w:t>shall be supported (Support Qualifier M).</w:t>
      </w:r>
    </w:p>
    <w:p/>
    <w:tbl>
      <w:tblPr>
        <w:tblStyle w:val="51"/>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439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938" w:type="pct"/>
            <w:noWrap w:val="0"/>
            <w:vAlign w:val="top"/>
          </w:tcPr>
          <w:p>
            <w:pPr>
              <w:pStyle w:val="113"/>
              <w:rPr>
                <w:rFonts w:cs="Courier New"/>
                <w:sz w:val="18"/>
                <w:szCs w:val="18"/>
              </w:rPr>
            </w:pPr>
            <w:r>
              <w:rPr>
                <w:rFonts w:cs="Courier New"/>
                <w:sz w:val="18"/>
                <w:szCs w:val="18"/>
              </w:rPr>
              <w:t>cCOStatus</w:t>
            </w:r>
          </w:p>
        </w:tc>
        <w:tc>
          <w:tcPr>
            <w:tcW w:w="2280" w:type="pct"/>
            <w:noWrap w:val="0"/>
            <w:vAlign w:val="top"/>
          </w:tcPr>
          <w:p>
            <w:pPr>
              <w:pStyle w:val="168"/>
              <w:spacing w:before="0" w:beforeAutospacing="0" w:after="0" w:afterAutospacing="0"/>
              <w:ind w:left="90" w:hanging="90"/>
              <w:rPr>
                <w:rFonts w:ascii="Arial" w:hAnsi="Arial" w:cs="Arial"/>
                <w:sz w:val="18"/>
                <w:szCs w:val="18"/>
                <w:lang w:val="en-GB"/>
              </w:rPr>
            </w:pPr>
            <w:r>
              <w:rPr>
                <w:rFonts w:ascii="Arial" w:hAnsi="Arial" w:cs="Arial"/>
                <w:sz w:val="18"/>
                <w:szCs w:val="18"/>
                <w:lang w:val="en-GB"/>
              </w:rPr>
              <w:t xml:space="preserve">This attribute holds the information about the capacity and coverage optimization (CCO) function activities for the cell which name contains the </w:t>
            </w:r>
            <w:r>
              <w:rPr>
                <w:rFonts w:ascii="Courier New" w:hAnsi="Courier New" w:cs="Courier New"/>
                <w:sz w:val="18"/>
                <w:szCs w:val="18"/>
                <w:lang w:val="en-GB"/>
              </w:rPr>
              <w:t>CCOInformation</w:t>
            </w:r>
            <w:r>
              <w:rPr>
                <w:rFonts w:ascii="Arial" w:hAnsi="Arial" w:cs="Arial"/>
                <w:sz w:val="18"/>
                <w:szCs w:val="18"/>
                <w:lang w:val="en-GB"/>
              </w:rPr>
              <w:t xml:space="preserve"> IOC instance.</w:t>
            </w:r>
          </w:p>
          <w:p>
            <w:pPr>
              <w:pStyle w:val="168"/>
              <w:spacing w:before="0" w:beforeAutospacing="0" w:after="0" w:afterAutospacing="0"/>
              <w:ind w:left="90" w:hanging="90"/>
              <w:rPr>
                <w:rFonts w:ascii="Arial" w:hAnsi="Arial" w:cs="Arial"/>
                <w:sz w:val="18"/>
                <w:szCs w:val="18"/>
                <w:lang w:val="en-GB"/>
              </w:rPr>
            </w:pPr>
          </w:p>
          <w:p>
            <w:pPr>
              <w:pStyle w:val="168"/>
              <w:spacing w:before="0" w:beforeAutospacing="0" w:after="0" w:afterAutospacing="0"/>
              <w:ind w:left="90" w:hanging="90"/>
              <w:rPr>
                <w:rFonts w:ascii="Arial" w:hAnsi="Arial" w:cs="Arial"/>
                <w:sz w:val="18"/>
                <w:szCs w:val="18"/>
                <w:lang w:val="en-GB"/>
              </w:rPr>
            </w:pPr>
            <w:r>
              <w:rPr>
                <w:rFonts w:ascii="Arial" w:hAnsi="Arial" w:cs="Arial"/>
                <w:sz w:val="18"/>
                <w:szCs w:val="18"/>
                <w:lang w:val="en-GB"/>
              </w:rPr>
              <w:t xml:space="preserve">The initial state is cCOPassive . When a cell is in cCOPassive state, it may monitor the cell performance to prepare for CCO action. </w:t>
            </w:r>
          </w:p>
          <w:p>
            <w:pPr>
              <w:pStyle w:val="168"/>
              <w:spacing w:before="0" w:beforeAutospacing="0" w:after="0" w:afterAutospacing="0"/>
              <w:ind w:left="90" w:hanging="90"/>
              <w:rPr>
                <w:rFonts w:ascii="Arial" w:hAnsi="Arial" w:cs="Arial"/>
                <w:sz w:val="18"/>
                <w:szCs w:val="18"/>
                <w:lang w:val="en-GB"/>
              </w:rPr>
            </w:pPr>
          </w:p>
          <w:p>
            <w:pPr>
              <w:pStyle w:val="168"/>
              <w:spacing w:before="0" w:beforeAutospacing="0" w:after="0" w:afterAutospacing="0"/>
              <w:ind w:left="90" w:hanging="90"/>
              <w:rPr>
                <w:rFonts w:ascii="Arial" w:hAnsi="Arial" w:cs="Arial"/>
                <w:sz w:val="18"/>
                <w:szCs w:val="18"/>
                <w:lang w:val="en-GB"/>
              </w:rPr>
            </w:pPr>
            <w:r>
              <w:rPr>
                <w:rFonts w:ascii="Arial" w:hAnsi="Arial" w:cs="Arial"/>
                <w:sz w:val="18"/>
                <w:szCs w:val="18"/>
                <w:lang w:val="en-GB"/>
              </w:rPr>
              <w:t xml:space="preserve">When CCO starts to update the parameters of this cell or on a relevant cell for a CCO transaction, the state is changed to </w:t>
            </w:r>
            <w:r>
              <w:rPr>
                <w:rFonts w:ascii="Courier New" w:hAnsi="Courier New" w:cs="Courier New"/>
                <w:sz w:val="18"/>
                <w:szCs w:val="18"/>
                <w:lang w:val="en-GB"/>
              </w:rPr>
              <w:t>cCOActive</w:t>
            </w:r>
            <w:r>
              <w:rPr>
                <w:rFonts w:ascii="Arial" w:hAnsi="Arial" w:cs="Arial"/>
                <w:sz w:val="18"/>
                <w:szCs w:val="18"/>
                <w:lang w:val="en-GB"/>
              </w:rPr>
              <w:t>.</w:t>
            </w:r>
          </w:p>
          <w:p>
            <w:pPr>
              <w:pStyle w:val="168"/>
              <w:spacing w:before="0" w:beforeAutospacing="0" w:after="0" w:afterAutospacing="0"/>
              <w:ind w:left="90" w:hanging="90"/>
              <w:rPr>
                <w:rFonts w:ascii="Arial" w:hAnsi="Arial" w:cs="Arial"/>
                <w:sz w:val="18"/>
                <w:szCs w:val="18"/>
                <w:lang w:val="en-GB"/>
              </w:rPr>
            </w:pPr>
          </w:p>
          <w:p>
            <w:pPr>
              <w:pStyle w:val="168"/>
              <w:spacing w:before="0" w:beforeAutospacing="0" w:after="0" w:afterAutospacing="0"/>
              <w:ind w:left="90" w:hanging="90"/>
              <w:rPr>
                <w:rFonts w:ascii="Arial" w:hAnsi="Arial" w:cs="Arial"/>
                <w:sz w:val="18"/>
                <w:szCs w:val="18"/>
                <w:lang w:val="en-GB"/>
              </w:rPr>
            </w:pPr>
            <w:r>
              <w:rPr>
                <w:rFonts w:ascii="Arial" w:hAnsi="Arial" w:cs="Arial"/>
                <w:sz w:val="18"/>
                <w:szCs w:val="18"/>
                <w:lang w:val="en-GB"/>
              </w:rPr>
              <w:t xml:space="preserve">When CCO finishes updating the parameters of all cells for one CCO transaction, the state is changed to </w:t>
            </w:r>
            <w:r>
              <w:rPr>
                <w:rFonts w:ascii="Courier New" w:hAnsi="Courier New" w:cs="Courier New"/>
                <w:sz w:val="18"/>
                <w:szCs w:val="18"/>
                <w:lang w:val="en-GB"/>
              </w:rPr>
              <w:t>cCOPassive</w:t>
            </w:r>
            <w:r>
              <w:rPr>
                <w:rFonts w:ascii="Arial" w:hAnsi="Arial" w:cs="Arial"/>
                <w:sz w:val="18"/>
                <w:szCs w:val="18"/>
                <w:lang w:val="en-GB"/>
              </w:rPr>
              <w:t>.</w:t>
            </w:r>
          </w:p>
          <w:p>
            <w:pPr>
              <w:pStyle w:val="63"/>
            </w:pPr>
          </w:p>
        </w:tc>
        <w:tc>
          <w:tcPr>
            <w:tcW w:w="1691" w:type="pct"/>
            <w:noWrap w:val="0"/>
            <w:vAlign w:val="top"/>
          </w:tcPr>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Enumerated</w:t>
            </w:r>
          </w:p>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w:t>
            </w:r>
          </w:p>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 xml:space="preserve">  cCOPassive,</w:t>
            </w:r>
          </w:p>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 xml:space="preserve">  cCOActive</w:t>
            </w:r>
          </w:p>
          <w:p>
            <w:pPr>
              <w:pStyle w:val="168"/>
              <w:spacing w:before="0" w:beforeAutospacing="0" w:after="0" w:afterAutospacing="0"/>
              <w:rPr>
                <w:rFonts w:ascii="Courier New" w:hAnsi="Courier New" w:cs="Courier New"/>
                <w:sz w:val="18"/>
                <w:szCs w:val="18"/>
                <w:lang w:val="en-GB"/>
              </w:rPr>
            </w:pPr>
            <w:r>
              <w:rPr>
                <w:rFonts w:ascii="Courier New" w:hAnsi="Courier New" w:cs="Courier New"/>
                <w:sz w:val="18"/>
                <w:szCs w:val="18"/>
                <w:lang w:val="en-GB"/>
              </w:rPr>
              <w:t>}</w:t>
            </w:r>
          </w:p>
          <w:p>
            <w:pPr>
              <w:pStyle w:val="63"/>
              <w:rPr>
                <w:rFonts w:hint="eastAsia"/>
                <w:lang w:eastAsia="zh-CN"/>
              </w:rPr>
            </w:pPr>
          </w:p>
        </w:tc>
      </w:tr>
    </w:tbl>
    <w:p>
      <w:pPr>
        <w:rPr>
          <w:rFonts w:hint="eastAsia"/>
          <w:lang w:val="en-US" w:eastAsia="zh-CN"/>
        </w:rPr>
      </w:pPr>
      <w:r>
        <w:rPr>
          <w:rFonts w:hint="eastAsia"/>
          <w:lang w:val="en-US" w:eastAsia="zh-CN"/>
        </w:rPr>
        <w:t>-----------------------------------------------------------------TS 32.762----------------------------------------------------------------</w:t>
      </w:r>
    </w:p>
    <w:p>
      <w:pPr>
        <w:rPr>
          <w:rFonts w:hint="default"/>
          <w:lang w:val="en-US" w:eastAsia="zh-CN"/>
        </w:rPr>
      </w:pPr>
      <w:r>
        <w:rPr>
          <w:rFonts w:hint="eastAsia"/>
          <w:lang w:val="en-US" w:eastAsia="zh-CN"/>
        </w:rPr>
        <w:t>The CCO configuration parameter defined in SA5, CCO Status, can indicate two states of CCO function activities. However, there seems to be no similar CCO configuration parameter defined in current NR specification from the prospective of SA5. If RAN3 would to confirm whether the similar CCO configurations defined by OAM in LTE could also be applied in NR, a LS from RAN3 to SA5 is needed.</w:t>
      </w:r>
    </w:p>
    <w:p>
      <w:pPr>
        <w:rPr>
          <w:rFonts w:hint="default"/>
          <w:lang w:val="en-US"/>
        </w:rPr>
      </w:pPr>
      <w:r>
        <w:rPr>
          <w:rFonts w:hint="eastAsia"/>
          <w:b/>
          <w:bCs/>
          <w:u w:val="none"/>
          <w:lang w:val="en-US" w:eastAsia="zh-CN"/>
        </w:rPr>
        <w:t>Proposal 1: A LS from RAN3 to SA5 is needed to confirm whether the CCO configurations defined by OAM in LTE could also be applied in NR. And the draft LS is given in [2].</w:t>
      </w:r>
    </w:p>
    <w:p>
      <w:pPr>
        <w:pStyle w:val="3"/>
        <w:bidi w:val="0"/>
        <w:rPr>
          <w:rFonts w:hint="eastAsia"/>
          <w:lang w:val="en-US" w:eastAsia="zh-CN"/>
        </w:rPr>
      </w:pPr>
      <w:r>
        <w:rPr>
          <w:rFonts w:hint="eastAsia"/>
          <w:lang w:val="en-US" w:eastAsia="zh-CN"/>
        </w:rPr>
        <w:t>CCO configuration info over Xn</w:t>
      </w:r>
    </w:p>
    <w:p>
      <w:pPr>
        <w:rPr>
          <w:rFonts w:hint="eastAsia"/>
          <w:sz w:val="20"/>
          <w:szCs w:val="20"/>
          <w:lang w:val="en-US" w:eastAsia="zh-CN"/>
        </w:rPr>
      </w:pPr>
      <w:r>
        <w:rPr>
          <w:rFonts w:hint="eastAsia"/>
          <w:sz w:val="20"/>
          <w:szCs w:val="20"/>
          <w:lang w:val="en-US" w:eastAsia="zh-CN"/>
        </w:rPr>
        <w:t>For the CCO issue over Xn, as the beam is the new characteristic in NR, the beam level coverage configuration for CCO should be regarded as a new granularity. In addition to the cell le</w:t>
      </w:r>
      <w:bookmarkStart w:id="10" w:name="_GoBack"/>
      <w:bookmarkEnd w:id="10"/>
      <w:r>
        <w:rPr>
          <w:rFonts w:hint="eastAsia"/>
          <w:sz w:val="20"/>
          <w:szCs w:val="20"/>
          <w:lang w:val="en-US" w:eastAsia="zh-CN"/>
        </w:rPr>
        <w:t>vel coverage modification, the beam level coverage modification should be considered. As discussed before, the beam shaping/merge/split could help to solve the issue of CCO issue, e.g. the coverage hole between the gNBs. Therefore, the per cell state CCO information should be separated with the per SSB state CCO information over Xn.</w:t>
      </w:r>
    </w:p>
    <w:p>
      <w:pPr>
        <w:rPr>
          <w:rFonts w:hint="eastAsia"/>
          <w:sz w:val="20"/>
          <w:szCs w:val="20"/>
          <w:lang w:val="en-US" w:eastAsia="zh-CN"/>
        </w:rPr>
      </w:pPr>
      <w:r>
        <w:rPr>
          <w:rFonts w:hint="eastAsia"/>
          <w:sz w:val="20"/>
          <w:szCs w:val="20"/>
          <w:lang w:val="en-US" w:eastAsia="zh-CN"/>
        </w:rPr>
        <w:t xml:space="preserve">The beam level CCO information should be exchanged between the gNBs, such as the SSB Index, Beam Coverage Status, Beam Deployment Status Indicator and Beam Replacing Info. To be more specific, as a set of beams could be modified together in the real deployment, the SSB Index could refer to a single beam or a set of beams. Similar to the Cell Coverage Status, the detailed value of Beam Coverage Status should be FFS. Alternatively, </w:t>
      </w:r>
      <w:r>
        <w:rPr>
          <w:rFonts w:hint="eastAsia"/>
          <w:sz w:val="20"/>
          <w:szCs w:val="20"/>
          <w:highlight w:val="none"/>
          <w:lang w:val="en-US" w:eastAsia="zh-CN"/>
        </w:rPr>
        <w:t>the Azimuth Angle, Tilt Angle, Horizontal Beam Width and Vertical Beam Width</w:t>
      </w:r>
      <w:r>
        <w:rPr>
          <w:rFonts w:hint="eastAsia"/>
          <w:sz w:val="20"/>
          <w:szCs w:val="20"/>
          <w:lang w:val="en-US" w:eastAsia="zh-CN"/>
        </w:rPr>
        <w:t xml:space="preserve"> could be introduced as the detailed expression of the beam configuration instead of the Beam Coverage Status. </w:t>
      </w:r>
    </w:p>
    <w:p>
      <w:r>
        <w:rPr>
          <w:rFonts w:hint="eastAsia"/>
          <w:b/>
          <w:bCs/>
          <w:u w:val="none"/>
          <w:lang w:val="en-US" w:eastAsia="zh-CN"/>
        </w:rPr>
        <w:t>Proposal 2: The beam level CCO information could be separated with the cell level CCO information over Xn.</w:t>
      </w:r>
    </w:p>
    <w:p>
      <w:pPr>
        <w:pStyle w:val="3"/>
        <w:bidi w:val="0"/>
      </w:pPr>
      <w:r>
        <w:rPr>
          <w:rFonts w:hint="eastAsia"/>
          <w:lang w:val="en-US" w:eastAsia="zh-CN"/>
        </w:rPr>
        <w:t>CCO configuration info over F1</w:t>
      </w:r>
    </w:p>
    <w:p>
      <w:pPr>
        <w:rPr>
          <w:rFonts w:hint="eastAsia"/>
          <w:sz w:val="20"/>
          <w:szCs w:val="21"/>
          <w:highlight w:val="none"/>
          <w:lang w:val="en-US" w:eastAsia="zh-CN"/>
        </w:rPr>
      </w:pPr>
      <w:r>
        <w:rPr>
          <w:rFonts w:hint="eastAsia"/>
          <w:sz w:val="20"/>
          <w:szCs w:val="21"/>
          <w:highlight w:val="none"/>
          <w:lang w:val="en-US" w:eastAsia="zh-CN"/>
        </w:rPr>
        <w:t>As the gNB-CU is the centralized control entity of the gNB and receives the measurement report from the UEs, the gNB-CU is able to detect whether the CCO issue exists and decide whether a coverage modification is needed in the gNB.</w:t>
      </w:r>
    </w:p>
    <w:p>
      <w:pPr>
        <w:rPr>
          <w:rFonts w:hint="default"/>
          <w:sz w:val="20"/>
          <w:szCs w:val="21"/>
          <w:highlight w:val="none"/>
          <w:lang w:val="en-US" w:eastAsia="zh-CN"/>
        </w:rPr>
      </w:pPr>
      <w:r>
        <w:rPr>
          <w:rFonts w:hint="eastAsia"/>
          <w:sz w:val="20"/>
          <w:szCs w:val="21"/>
          <w:highlight w:val="none"/>
          <w:lang w:val="en-US" w:eastAsia="zh-CN"/>
        </w:rPr>
        <w:t>Considering the information the gNB-CU should provide to the gNB-DU after detecting the CCO issue, the problem could be classified into capacity issue or coverage issue. And the affected cell/beam list should be also involved. And the details of coverage modification proposed by gNB-CU, including the Coverage Modification List, should be considered. As the gNB-DU has enough capability to obtain the information of the layer 1 and layer 2 and schedule the resources of serving cells or beams, the gNB-DU is able to make autonomous decisions on the coverage modification, even without the proposed coverage modification information from the gNB-CU. After the autonomous decisions by itself, the gNB-DU should provide the coverage modification information back to the gNB-CU.</w:t>
      </w:r>
    </w:p>
    <w:p>
      <w:pPr>
        <w:rPr>
          <w:rFonts w:hint="default"/>
          <w:b/>
          <w:bCs/>
          <w:u w:val="none"/>
          <w:lang w:val="en-US" w:eastAsia="zh-CN"/>
        </w:rPr>
      </w:pPr>
      <w:bookmarkStart w:id="8" w:name="OLE_LINK2"/>
      <w:r>
        <w:rPr>
          <w:rFonts w:hint="eastAsia"/>
          <w:b/>
          <w:bCs/>
          <w:u w:val="none"/>
          <w:lang w:val="en-US" w:eastAsia="zh-CN"/>
        </w:rPr>
        <w:t>Proposal 3: After detecting the CCO issue, the gNB-CU only needs to indicate the type of CCO issue to the gNB-DU with the affected cell or beam list.</w:t>
      </w:r>
    </w:p>
    <w:bookmarkEnd w:id="8"/>
    <w:p>
      <w:pPr>
        <w:rPr>
          <w:rFonts w:hint="default"/>
          <w:b w:val="0"/>
          <w:bCs w:val="0"/>
          <w:u w:val="none"/>
          <w:lang w:val="en-US" w:eastAsia="zh-CN"/>
        </w:rPr>
      </w:pPr>
      <w:r>
        <w:rPr>
          <w:rFonts w:hint="eastAsia"/>
          <w:b w:val="0"/>
          <w:bCs w:val="0"/>
          <w:u w:val="none"/>
          <w:lang w:val="en-US" w:eastAsia="zh-CN"/>
        </w:rPr>
        <w:t>Similar as Xn, both the cell level and beam level CCO information should be exchanged over F1, as the cell coverage modification information and beam coverage modification information are configured by gNB-DU. The cell level and beam level CCO information should be transmitted for gNB-DU to gNB-CU. And the detailed CCO information over F1 should be aligned with the information over Xn.</w:t>
      </w:r>
    </w:p>
    <w:p>
      <w:pPr>
        <w:rPr>
          <w:rFonts w:hint="default"/>
          <w:b/>
          <w:bCs/>
          <w:u w:val="none"/>
          <w:lang w:val="en-US" w:eastAsia="zh-CN"/>
        </w:rPr>
      </w:pPr>
      <w:bookmarkStart w:id="9" w:name="OLE_LINK5"/>
      <w:r>
        <w:rPr>
          <w:rFonts w:hint="eastAsia"/>
          <w:b/>
          <w:bCs/>
          <w:u w:val="none"/>
          <w:lang w:val="en-US" w:eastAsia="zh-CN"/>
        </w:rPr>
        <w:t>Proposal 4: Both the cell level and beam level CCO information should be transmitted from gNB-DU to gNB-CU.</w:t>
      </w:r>
      <w:bookmarkEnd w:id="9"/>
    </w:p>
    <w:p>
      <w:pPr>
        <w:pStyle w:val="2"/>
        <w:rPr>
          <w:lang w:val="en-US"/>
        </w:rPr>
      </w:pPr>
      <w:r>
        <w:rPr>
          <w:rFonts w:hint="eastAsia" w:eastAsia="宋体"/>
          <w:lang w:val="en-US" w:eastAsia="zh-CN"/>
        </w:rPr>
        <w:t>Conclusion</w:t>
      </w:r>
    </w:p>
    <w:p>
      <w:pPr>
        <w:rPr>
          <w:rFonts w:hint="default"/>
          <w:b/>
          <w:bCs/>
          <w:u w:val="none"/>
          <w:lang w:val="en-US" w:eastAsia="zh-CN"/>
        </w:rPr>
      </w:pPr>
      <w:r>
        <w:rPr>
          <w:rFonts w:hint="eastAsia"/>
          <w:b/>
          <w:bCs/>
          <w:u w:val="none"/>
          <w:lang w:val="en-US" w:eastAsia="zh-CN"/>
        </w:rPr>
        <w:t>Proposal 1: A LS from RAN3 to SA5 is needed to confirm whether the CCO configurations defined by OAM in LTE could also be applied in NR. And the draft LS is given in [2].</w:t>
      </w:r>
    </w:p>
    <w:p>
      <w:pPr>
        <w:rPr>
          <w:rFonts w:hint="eastAsia"/>
          <w:b/>
          <w:bCs/>
          <w:u w:val="none"/>
          <w:lang w:val="en-US" w:eastAsia="zh-CN"/>
        </w:rPr>
      </w:pPr>
      <w:r>
        <w:rPr>
          <w:rFonts w:hint="eastAsia"/>
          <w:b/>
          <w:bCs/>
          <w:u w:val="none"/>
          <w:lang w:val="en-US" w:eastAsia="zh-CN"/>
        </w:rPr>
        <w:t>Proposal 2: The beam level CCO information could be separated with the cell level CCO information over Xn.</w:t>
      </w:r>
    </w:p>
    <w:p>
      <w:pPr>
        <w:rPr>
          <w:rFonts w:hint="default"/>
          <w:b/>
          <w:bCs/>
          <w:u w:val="none"/>
          <w:lang w:val="en-US" w:eastAsia="zh-CN"/>
        </w:rPr>
      </w:pPr>
      <w:r>
        <w:rPr>
          <w:rFonts w:hint="eastAsia"/>
          <w:b/>
          <w:bCs/>
          <w:u w:val="none"/>
          <w:lang w:val="en-US" w:eastAsia="zh-CN"/>
        </w:rPr>
        <w:t>Proposal 3: After detecting the CCO issue, the gNB-CU only needs to indicate the type of CCO issue to the gNB-DU with the affected cell or beam list.</w:t>
      </w:r>
    </w:p>
    <w:p>
      <w:pPr>
        <w:rPr>
          <w:rFonts w:hint="eastAsia"/>
          <w:b/>
          <w:bCs/>
          <w:u w:val="none"/>
          <w:lang w:val="en-US" w:eastAsia="zh-CN"/>
        </w:rPr>
      </w:pPr>
      <w:r>
        <w:rPr>
          <w:rFonts w:hint="eastAsia"/>
          <w:b/>
          <w:bCs/>
          <w:u w:val="none"/>
          <w:lang w:val="en-US" w:eastAsia="zh-CN"/>
        </w:rPr>
        <w:t>Proposal 4: Both the cell level and beam level CCO information should be transmitted from gNB-DU to gNB-CU.</w:t>
      </w:r>
    </w:p>
    <w:p>
      <w:pPr>
        <w:rPr>
          <w:rFonts w:hint="default"/>
          <w:b/>
          <w:bCs/>
          <w:u w:val="none"/>
          <w:lang w:val="en-US" w:eastAsia="zh-CN"/>
        </w:rPr>
      </w:pPr>
      <w:r>
        <w:rPr>
          <w:rFonts w:hint="eastAsia"/>
          <w:b/>
          <w:bCs/>
          <w:u w:val="none"/>
          <w:lang w:val="en-US" w:eastAsia="zh-CN"/>
        </w:rPr>
        <w:t>The corresponding TPs are given in [3], [4] and [5] respectively.</w:t>
      </w:r>
    </w:p>
    <w:p>
      <w:pPr>
        <w:pStyle w:val="2"/>
        <w:rPr>
          <w:lang w:val="en-US"/>
        </w:rPr>
      </w:pPr>
      <w:r>
        <w:rPr>
          <w:rFonts w:hint="eastAsia"/>
          <w:lang w:val="en-US" w:eastAsia="zh-CN"/>
        </w:rPr>
        <w:t xml:space="preserve"> </w:t>
      </w:r>
      <w:r>
        <w:rPr>
          <w:lang w:val="en-US"/>
        </w:rPr>
        <w:t>References</w:t>
      </w:r>
    </w:p>
    <w:p>
      <w:pPr>
        <w:numPr>
          <w:ilvl w:val="0"/>
          <w:numId w:val="11"/>
        </w:numPr>
        <w:ind w:left="0" w:leftChars="0" w:firstLine="0" w:firstLineChars="0"/>
        <w:rPr>
          <w:rFonts w:hint="eastAsia"/>
          <w:iCs/>
          <w:lang w:val="en-US" w:eastAsia="zh-CN"/>
        </w:rPr>
      </w:pPr>
      <w:r>
        <w:rPr>
          <w:rFonts w:hint="eastAsia"/>
          <w:lang w:val="en-US" w:eastAsia="zh-CN"/>
        </w:rPr>
        <w:t xml:space="preserve">R3-212664 </w:t>
      </w:r>
      <w:r>
        <w:rPr>
          <w:lang w:val="en-GB"/>
        </w:rPr>
        <w:t>Summary_of_CB # 1208_SONMDT_CCO</w:t>
      </w:r>
      <w:r>
        <w:rPr>
          <w:rFonts w:hint="eastAsia"/>
          <w:lang w:val="en-US" w:eastAsia="zh-CN"/>
        </w:rPr>
        <w:t xml:space="preserve">  Huawei</w:t>
      </w:r>
    </w:p>
    <w:p>
      <w:pPr>
        <w:numPr>
          <w:ilvl w:val="0"/>
          <w:numId w:val="11"/>
        </w:numPr>
        <w:ind w:left="0" w:leftChars="0" w:firstLine="0" w:firstLineChars="0"/>
        <w:rPr>
          <w:rFonts w:hint="eastAsia"/>
          <w:iCs/>
          <w:lang w:val="en-US" w:eastAsia="zh-CN"/>
        </w:rPr>
      </w:pPr>
      <w:r>
        <w:rPr>
          <w:rFonts w:hint="eastAsia"/>
          <w:lang w:val="en-US" w:eastAsia="zh-CN"/>
        </w:rPr>
        <w:t>R3-214036 Draft LS on OAM Configuration for Coverage and Capacity Optimization  ZTE</w:t>
      </w:r>
    </w:p>
    <w:p>
      <w:pPr>
        <w:numPr>
          <w:ilvl w:val="0"/>
          <w:numId w:val="11"/>
        </w:numPr>
        <w:ind w:left="0" w:leftChars="0" w:firstLine="0" w:firstLineChars="0"/>
        <w:rPr>
          <w:rFonts w:hint="eastAsia"/>
          <w:iCs/>
          <w:lang w:val="en-US" w:eastAsia="zh-CN"/>
        </w:rPr>
      </w:pPr>
      <w:r>
        <w:rPr>
          <w:rFonts w:hint="eastAsia"/>
          <w:iCs/>
          <w:lang w:val="en-US" w:eastAsia="zh-CN"/>
        </w:rPr>
        <w:t xml:space="preserve">R3-214037 </w:t>
      </w:r>
      <w:r>
        <w:rPr>
          <w:rFonts w:hint="eastAsia" w:ascii="Times New Roman" w:hAnsi="Times New Roman" w:cs="Times New Roman"/>
          <w:iCs/>
          <w:lang w:val="en-US" w:eastAsia="zh-CN"/>
        </w:rPr>
        <w:t>(TP for SON BL CR 38.300) Coverage and Capacity Optimization  ZTE, China Telecom, China Unicom</w:t>
      </w:r>
    </w:p>
    <w:p>
      <w:pPr>
        <w:numPr>
          <w:ilvl w:val="0"/>
          <w:numId w:val="11"/>
        </w:numPr>
        <w:ind w:left="0" w:leftChars="0" w:firstLine="0" w:firstLineChars="0"/>
        <w:rPr>
          <w:rFonts w:hint="eastAsia"/>
          <w:iCs/>
          <w:lang w:val="en-US" w:eastAsia="zh-CN"/>
        </w:rPr>
      </w:pPr>
      <w:r>
        <w:rPr>
          <w:rFonts w:hint="eastAsia"/>
          <w:iCs/>
          <w:lang w:val="en-US" w:eastAsia="zh-CN"/>
        </w:rPr>
        <w:t xml:space="preserve">R3-214038 </w:t>
      </w:r>
      <w:r>
        <w:rPr>
          <w:rFonts w:hint="eastAsia" w:ascii="Times New Roman" w:hAnsi="Times New Roman" w:cs="Times New Roman"/>
          <w:iCs/>
          <w:lang w:val="en-US" w:eastAsia="zh-CN"/>
        </w:rPr>
        <w:t>(TP for SON BL CR 38.423) Coverage and Capacity Optimization  ZTE, China Telecom, China Unicom</w:t>
      </w:r>
    </w:p>
    <w:p>
      <w:pPr>
        <w:numPr>
          <w:ilvl w:val="0"/>
          <w:numId w:val="11"/>
        </w:numPr>
        <w:ind w:left="0" w:leftChars="0" w:firstLine="0" w:firstLineChars="0"/>
        <w:rPr>
          <w:rFonts w:hint="eastAsia"/>
          <w:iCs/>
          <w:lang w:val="en-US" w:eastAsia="zh-CN"/>
        </w:rPr>
      </w:pPr>
      <w:r>
        <w:rPr>
          <w:rFonts w:hint="eastAsia"/>
          <w:iCs/>
          <w:lang w:val="en-US" w:eastAsia="zh-CN"/>
        </w:rPr>
        <w:t xml:space="preserve">R3-214039 </w:t>
      </w:r>
      <w:r>
        <w:rPr>
          <w:rFonts w:hint="eastAsia" w:ascii="Times New Roman" w:hAnsi="Times New Roman" w:cs="Times New Roman"/>
          <w:iCs/>
          <w:lang w:val="en-US" w:eastAsia="zh-CN"/>
        </w:rPr>
        <w:t>(TP for SON BL CR 38.473) Coverage and Capacity Optimization  ZTE, China Telecom, China Unicom</w:t>
      </w:r>
    </w:p>
    <w:p>
      <w:pPr>
        <w:numPr>
          <w:ilvl w:val="0"/>
          <w:numId w:val="0"/>
        </w:num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44747D"/>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0FB4147F"/>
    <w:rsid w:val="1022760D"/>
    <w:rsid w:val="104616BD"/>
    <w:rsid w:val="10697B06"/>
    <w:rsid w:val="10CC33DF"/>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3E827EF"/>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28006B"/>
    <w:rsid w:val="18737782"/>
    <w:rsid w:val="188A5116"/>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947C76"/>
    <w:rsid w:val="1FD56E16"/>
    <w:rsid w:val="20255CCF"/>
    <w:rsid w:val="205158FB"/>
    <w:rsid w:val="20736B2F"/>
    <w:rsid w:val="20A43B92"/>
    <w:rsid w:val="20DA4D43"/>
    <w:rsid w:val="21007028"/>
    <w:rsid w:val="211A120E"/>
    <w:rsid w:val="2148646C"/>
    <w:rsid w:val="215C1869"/>
    <w:rsid w:val="21690C34"/>
    <w:rsid w:val="217C4881"/>
    <w:rsid w:val="219A638D"/>
    <w:rsid w:val="21F15BD9"/>
    <w:rsid w:val="22064DB8"/>
    <w:rsid w:val="226C2838"/>
    <w:rsid w:val="2272111D"/>
    <w:rsid w:val="238E7F9D"/>
    <w:rsid w:val="23AC0648"/>
    <w:rsid w:val="23B12D8D"/>
    <w:rsid w:val="23D40B74"/>
    <w:rsid w:val="23E05107"/>
    <w:rsid w:val="241A3DCD"/>
    <w:rsid w:val="24280C7A"/>
    <w:rsid w:val="24294579"/>
    <w:rsid w:val="2443739B"/>
    <w:rsid w:val="24503223"/>
    <w:rsid w:val="24835949"/>
    <w:rsid w:val="24B008D6"/>
    <w:rsid w:val="24F777F0"/>
    <w:rsid w:val="255270B3"/>
    <w:rsid w:val="256E3041"/>
    <w:rsid w:val="258A3006"/>
    <w:rsid w:val="25913F66"/>
    <w:rsid w:val="25D543C7"/>
    <w:rsid w:val="25E25B1B"/>
    <w:rsid w:val="25F53E66"/>
    <w:rsid w:val="263249FA"/>
    <w:rsid w:val="265C0D26"/>
    <w:rsid w:val="26B023A3"/>
    <w:rsid w:val="26BB7E1A"/>
    <w:rsid w:val="271C1B98"/>
    <w:rsid w:val="278003A7"/>
    <w:rsid w:val="278C7A9D"/>
    <w:rsid w:val="28084331"/>
    <w:rsid w:val="28F9779E"/>
    <w:rsid w:val="290B3E66"/>
    <w:rsid w:val="293B0D57"/>
    <w:rsid w:val="29804F06"/>
    <w:rsid w:val="29822ABC"/>
    <w:rsid w:val="29C02A00"/>
    <w:rsid w:val="29DA1FC7"/>
    <w:rsid w:val="2A0C40E9"/>
    <w:rsid w:val="2A203609"/>
    <w:rsid w:val="2A3B53AB"/>
    <w:rsid w:val="2A4A6563"/>
    <w:rsid w:val="2A845CCD"/>
    <w:rsid w:val="2AA05A87"/>
    <w:rsid w:val="2AB47994"/>
    <w:rsid w:val="2ABB039F"/>
    <w:rsid w:val="2ACC2994"/>
    <w:rsid w:val="2ACD6D42"/>
    <w:rsid w:val="2AD300F9"/>
    <w:rsid w:val="2ADC7BAE"/>
    <w:rsid w:val="2B027322"/>
    <w:rsid w:val="2B1B0895"/>
    <w:rsid w:val="2B6942D8"/>
    <w:rsid w:val="2B7D3D7A"/>
    <w:rsid w:val="2BA24BC4"/>
    <w:rsid w:val="2BA31DEF"/>
    <w:rsid w:val="2BFB214F"/>
    <w:rsid w:val="2C0025CA"/>
    <w:rsid w:val="2C1E7032"/>
    <w:rsid w:val="2C3510D6"/>
    <w:rsid w:val="2C3C196E"/>
    <w:rsid w:val="2C513B78"/>
    <w:rsid w:val="2C7868F4"/>
    <w:rsid w:val="2C7A6A33"/>
    <w:rsid w:val="2C8B137A"/>
    <w:rsid w:val="2C964CB2"/>
    <w:rsid w:val="2CAF08F7"/>
    <w:rsid w:val="2CBA7F21"/>
    <w:rsid w:val="2D4C1636"/>
    <w:rsid w:val="2D4E266A"/>
    <w:rsid w:val="2D5A6D9B"/>
    <w:rsid w:val="2DB40F60"/>
    <w:rsid w:val="2E2F6AFD"/>
    <w:rsid w:val="2E4E2817"/>
    <w:rsid w:val="2E6D1182"/>
    <w:rsid w:val="2E7528B1"/>
    <w:rsid w:val="2EC36F08"/>
    <w:rsid w:val="2EEE69D4"/>
    <w:rsid w:val="2F382857"/>
    <w:rsid w:val="2F550CAE"/>
    <w:rsid w:val="2FB46F0C"/>
    <w:rsid w:val="2FE62409"/>
    <w:rsid w:val="2FF61694"/>
    <w:rsid w:val="303655F3"/>
    <w:rsid w:val="303969A8"/>
    <w:rsid w:val="306B0B80"/>
    <w:rsid w:val="30BF03AE"/>
    <w:rsid w:val="30E44BBF"/>
    <w:rsid w:val="30E47FAC"/>
    <w:rsid w:val="318B2428"/>
    <w:rsid w:val="31B1536D"/>
    <w:rsid w:val="31BB5F47"/>
    <w:rsid w:val="31DD2EE0"/>
    <w:rsid w:val="31E54763"/>
    <w:rsid w:val="32391713"/>
    <w:rsid w:val="323C5FF4"/>
    <w:rsid w:val="323F73F9"/>
    <w:rsid w:val="32571698"/>
    <w:rsid w:val="32612FE2"/>
    <w:rsid w:val="32872C29"/>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6F45EE"/>
    <w:rsid w:val="377266A8"/>
    <w:rsid w:val="377A73B2"/>
    <w:rsid w:val="37A022CD"/>
    <w:rsid w:val="37A317A3"/>
    <w:rsid w:val="37A903C2"/>
    <w:rsid w:val="37B76230"/>
    <w:rsid w:val="37C230C0"/>
    <w:rsid w:val="37D82C11"/>
    <w:rsid w:val="37EC5240"/>
    <w:rsid w:val="37FE3FB2"/>
    <w:rsid w:val="380B4838"/>
    <w:rsid w:val="38107EDC"/>
    <w:rsid w:val="38AA53EA"/>
    <w:rsid w:val="390C2963"/>
    <w:rsid w:val="39484FA2"/>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A849A0"/>
    <w:rsid w:val="3BB9119D"/>
    <w:rsid w:val="3BC07508"/>
    <w:rsid w:val="3BE81889"/>
    <w:rsid w:val="3C2222A1"/>
    <w:rsid w:val="3C8A280E"/>
    <w:rsid w:val="3C97649D"/>
    <w:rsid w:val="3CFE691F"/>
    <w:rsid w:val="3D664C7B"/>
    <w:rsid w:val="3D7262BE"/>
    <w:rsid w:val="3D9B4E79"/>
    <w:rsid w:val="3DA539D0"/>
    <w:rsid w:val="3DB70219"/>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AE26D4"/>
    <w:rsid w:val="49CD3F95"/>
    <w:rsid w:val="49FF5459"/>
    <w:rsid w:val="4A4E6EBE"/>
    <w:rsid w:val="4A6B6121"/>
    <w:rsid w:val="4A872624"/>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A31BE"/>
    <w:rsid w:val="500D4514"/>
    <w:rsid w:val="50117AF7"/>
    <w:rsid w:val="501514AD"/>
    <w:rsid w:val="504F2FFD"/>
    <w:rsid w:val="505903E5"/>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728B2"/>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267B6"/>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B87D76"/>
    <w:rsid w:val="5AC16934"/>
    <w:rsid w:val="5B1A502A"/>
    <w:rsid w:val="5B2828B1"/>
    <w:rsid w:val="5B8B7980"/>
    <w:rsid w:val="5B9132D9"/>
    <w:rsid w:val="5BA07233"/>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3133B8"/>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4B7B41"/>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7E2EB9"/>
    <w:rsid w:val="6C845B39"/>
    <w:rsid w:val="6C94735D"/>
    <w:rsid w:val="6CAA3F0A"/>
    <w:rsid w:val="6CAC0C9B"/>
    <w:rsid w:val="6CBA1CB0"/>
    <w:rsid w:val="6CC95241"/>
    <w:rsid w:val="6D18660F"/>
    <w:rsid w:val="6D544FAE"/>
    <w:rsid w:val="6D8C39A9"/>
    <w:rsid w:val="6DBF0252"/>
    <w:rsid w:val="6DD70E25"/>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66369E"/>
    <w:rsid w:val="70A45A1C"/>
    <w:rsid w:val="715256C6"/>
    <w:rsid w:val="717B1367"/>
    <w:rsid w:val="717F6B2A"/>
    <w:rsid w:val="71B95FA8"/>
    <w:rsid w:val="723448E6"/>
    <w:rsid w:val="7262728A"/>
    <w:rsid w:val="726F7031"/>
    <w:rsid w:val="72AF2C2B"/>
    <w:rsid w:val="72B825E5"/>
    <w:rsid w:val="72E71F99"/>
    <w:rsid w:val="72F41883"/>
    <w:rsid w:val="73642AAE"/>
    <w:rsid w:val="73854EF4"/>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20487E"/>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tal"/>
    <w:basedOn w:val="1"/>
    <w:qFormat/>
    <w:uiPriority w:val="0"/>
    <w:pPr>
      <w:spacing w:before="100" w:beforeAutospacing="1" w:after="100" w:afterAutospacing="1"/>
    </w:pPr>
    <w:rPr>
      <w:rFonts w:eastAsia="宋体"/>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3</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2021-08-06T05:03:01Z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